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B2" w:rsidRDefault="00CC14B2" w:rsidP="00CC14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58">
        <w:rPr>
          <w:rFonts w:ascii="Times New Roman" w:hAnsi="Times New Roman" w:cs="Times New Roman"/>
          <w:b/>
          <w:sz w:val="24"/>
          <w:szCs w:val="24"/>
        </w:rPr>
        <w:t xml:space="preserve">Lista visokorizičnih trećih država sa strateškim nedostacima u sustavima  sprječavanja pranja novca i financiranja terorizma  </w:t>
      </w:r>
    </w:p>
    <w:p w:rsidR="00CC14B2" w:rsidRPr="00332C58" w:rsidRDefault="00CC14B2" w:rsidP="00CC14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58">
        <w:rPr>
          <w:rFonts w:ascii="Times New Roman" w:hAnsi="Times New Roman" w:cs="Times New Roman"/>
          <w:b/>
          <w:sz w:val="24"/>
          <w:szCs w:val="24"/>
        </w:rPr>
        <w:t xml:space="preserve">(ažurirano – </w:t>
      </w:r>
      <w:r w:rsidR="00362DE0">
        <w:rPr>
          <w:rFonts w:ascii="Times New Roman" w:hAnsi="Times New Roman" w:cs="Times New Roman"/>
          <w:b/>
          <w:sz w:val="24"/>
          <w:szCs w:val="24"/>
        </w:rPr>
        <w:t>listopad</w:t>
      </w:r>
      <w:r w:rsidR="004179A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32C58">
        <w:rPr>
          <w:rFonts w:ascii="Times New Roman" w:hAnsi="Times New Roman" w:cs="Times New Roman"/>
          <w:b/>
          <w:sz w:val="24"/>
          <w:szCs w:val="24"/>
        </w:rPr>
        <w:t>)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>Ministarstvo financija, Financijski inspektorat u funkciji pomoći obveznicima primjene Zakona o sprječavanju pranja novca i financiranja terorizma (ZSPNFT) objavljuje ažuriranu listu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C58">
        <w:rPr>
          <w:rFonts w:ascii="Times New Roman" w:hAnsi="Times New Roman" w:cs="Times New Roman"/>
          <w:sz w:val="24"/>
          <w:szCs w:val="24"/>
        </w:rPr>
        <w:t>visokorizičnih trećih država koje predstavljaju države sa strateškim nedostacima u sustavima sprječavanja pranja novca koje su identificirali FATF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  <w:r w:rsidRPr="00332C58">
        <w:rPr>
          <w:rFonts w:ascii="Times New Roman" w:hAnsi="Times New Roman" w:cs="Times New Roman"/>
          <w:sz w:val="24"/>
          <w:szCs w:val="24"/>
        </w:rPr>
        <w:t xml:space="preserve"> i Europska komisija. Te su države označene visokorizičnima zbog nedostataka u zakonodavstvu ili provođenju zakona koji mogu utjecati na uspjeh borbe protiv pranja novca i financiranja terorizma.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Poslovanje s osobama ili provođenje transakcija povezanih s tim državama, kao i kada su sredstva ili imovina stranke povezani s tim državama, predstavlja veću vjerojatnost pranja novca i financiranja terorizma pa time i povećan rizik od zlouporabe financijskog i nefinancijskog sektora Republike Hrvatske za pranje novca i financiranje terorizma.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Sukladno ZSPNFT-u obveznici su dužni primijeniti mjere pojačane dubinske analize u odnosu na države koje su delegiranim aktom Europske komisije utvrđene kao visokorizične treće države koji ne primjenjuju odgovarajuće mjere za sprječavanje pranja novca i financiranja terorizma.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Osim toga, obveznici moraju uzeti u obzir relevantne evaluacije, procjene ili izvješća koja su sastavile međunarodne organizacije i stručnjaci zaduženi za određivanje standarda u području sprječavanja pranja novca i borbe protiv financiranja terorizma u vezi s rizicima koje predstavljaju pojedinačne zemlje, a kojima će se obveznici koristiti kao čimbenicima u vlastitim procjenama rizika (npr. „crna lista“ i „siva lista“ FATF-a).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Pr="004872EE" w:rsidRDefault="00CC14B2" w:rsidP="00CC14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2EE">
        <w:rPr>
          <w:rFonts w:ascii="Times New Roman" w:hAnsi="Times New Roman" w:cs="Times New Roman"/>
          <w:b/>
          <w:sz w:val="24"/>
          <w:szCs w:val="24"/>
        </w:rPr>
        <w:t xml:space="preserve">EU lista visokorizičnih trećih država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>Na razini Europske unije, Europska komisija, sukladno čl. 64. Direktive (EU) 2015/8492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2"/>
      </w:r>
      <w:r w:rsidRPr="00332C58">
        <w:rPr>
          <w:rFonts w:ascii="Times New Roman" w:hAnsi="Times New Roman" w:cs="Times New Roman"/>
          <w:sz w:val="24"/>
          <w:szCs w:val="24"/>
        </w:rPr>
        <w:t xml:space="preserve"> za donošenje delegiranih akata, ovlaštena je donositi delegirane uredbe koje se odnose na treće države (koje nisu članice EU niti potpisnice Sporazuma o osnivanju EGP-a) sa strateškim nedostacima u sustavima za sprječavanje pranja novca i financiranja terorizma koji                                                     predstavljaju značajnu prijetnju financijskom sustavu Europske unije („visokorizične treće države“), a kojima se d</w:t>
      </w:r>
      <w:r>
        <w:rPr>
          <w:rFonts w:ascii="Times New Roman" w:hAnsi="Times New Roman" w:cs="Times New Roman"/>
          <w:sz w:val="24"/>
          <w:szCs w:val="24"/>
        </w:rPr>
        <w:t>opunjuje predmetna Direktiva.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lastRenderedPageBreak/>
        <w:t>Konzumacijom navedene ovlasti, Europska komisija je usvojila Delegiranu uredbu (EU) 2016/1675 od 14. srpnja 2016.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3"/>
      </w:r>
      <w:r w:rsidRPr="00332C58">
        <w:rPr>
          <w:rFonts w:ascii="Times New Roman" w:hAnsi="Times New Roman" w:cs="Times New Roman"/>
          <w:sz w:val="24"/>
          <w:szCs w:val="24"/>
        </w:rPr>
        <w:t xml:space="preserve"> kojom je utvrdila listu visokorizičnih trećih država te ju je naknadnim izmjenama, nekoliko puta ažurirala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4"/>
      </w: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18F2">
        <w:rPr>
          <w:rFonts w:ascii="Times New Roman" w:hAnsi="Times New Roman" w:cs="Times New Roman"/>
          <w:sz w:val="24"/>
          <w:szCs w:val="24"/>
        </w:rPr>
        <w:t xml:space="preserve">Zadnjom izmjenom je ažurirana i utvrđena aktualna lista visokorizičnih trećih zemalja sa strateškim nedostacima u svojim sustavima sprječavanja pranja novca i borbe protiv financiranja terorizma (Delegirana uredba Komisije (EU) </w:t>
      </w:r>
      <w:r w:rsidR="004D0B30">
        <w:rPr>
          <w:rFonts w:ascii="Times New Roman" w:hAnsi="Times New Roman" w:cs="Times New Roman"/>
          <w:sz w:val="24"/>
          <w:szCs w:val="24"/>
        </w:rPr>
        <w:t>2024</w:t>
      </w:r>
      <w:r w:rsidRPr="00535EB8">
        <w:rPr>
          <w:rFonts w:ascii="Times New Roman" w:hAnsi="Times New Roman" w:cs="Times New Roman"/>
          <w:sz w:val="24"/>
          <w:szCs w:val="24"/>
        </w:rPr>
        <w:t>/</w:t>
      </w:r>
      <w:r w:rsidR="004D0B30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B8">
        <w:rPr>
          <w:rFonts w:ascii="Times New Roman" w:hAnsi="Times New Roman" w:cs="Times New Roman"/>
          <w:sz w:val="24"/>
          <w:szCs w:val="24"/>
        </w:rPr>
        <w:t>od 1</w:t>
      </w:r>
      <w:r w:rsidR="004D0B30">
        <w:rPr>
          <w:rFonts w:ascii="Times New Roman" w:hAnsi="Times New Roman" w:cs="Times New Roman"/>
          <w:sz w:val="24"/>
          <w:szCs w:val="24"/>
        </w:rPr>
        <w:t>2. prosinca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B8">
        <w:rPr>
          <w:rFonts w:ascii="Times New Roman" w:hAnsi="Times New Roman" w:cs="Times New Roman"/>
          <w:sz w:val="24"/>
          <w:szCs w:val="24"/>
        </w:rPr>
        <w:t xml:space="preserve">o izmjeni Delegirane uredbe (EU) 2016/1675 u pogledu </w:t>
      </w:r>
      <w:r w:rsidR="0030308E">
        <w:rPr>
          <w:rFonts w:ascii="Times New Roman" w:hAnsi="Times New Roman" w:cs="Times New Roman"/>
          <w:sz w:val="24"/>
          <w:szCs w:val="24"/>
        </w:rPr>
        <w:t xml:space="preserve">brisanja </w:t>
      </w:r>
      <w:proofErr w:type="spellStart"/>
      <w:r w:rsidR="0030308E">
        <w:rPr>
          <w:rFonts w:ascii="Times New Roman" w:hAnsi="Times New Roman" w:cs="Times New Roman"/>
          <w:sz w:val="24"/>
          <w:szCs w:val="24"/>
        </w:rPr>
        <w:t>Kajmanskih</w:t>
      </w:r>
      <w:proofErr w:type="spellEnd"/>
      <w:r w:rsidR="0030308E">
        <w:rPr>
          <w:rFonts w:ascii="Times New Roman" w:hAnsi="Times New Roman" w:cs="Times New Roman"/>
          <w:sz w:val="24"/>
          <w:szCs w:val="24"/>
        </w:rPr>
        <w:t xml:space="preserve"> Otoka i Jordana</w:t>
      </w:r>
      <w:r w:rsidRPr="00535EB8">
        <w:rPr>
          <w:rFonts w:ascii="Times New Roman" w:hAnsi="Times New Roman" w:cs="Times New Roman"/>
          <w:sz w:val="24"/>
          <w:szCs w:val="24"/>
        </w:rPr>
        <w:t xml:space="preserve"> </w:t>
      </w:r>
      <w:r w:rsidR="00906A75">
        <w:rPr>
          <w:rFonts w:ascii="Times New Roman" w:hAnsi="Times New Roman" w:cs="Times New Roman"/>
          <w:sz w:val="24"/>
          <w:szCs w:val="24"/>
        </w:rPr>
        <w:t xml:space="preserve">s popisa </w:t>
      </w:r>
      <w:r w:rsidRPr="00535EB8">
        <w:rPr>
          <w:rFonts w:ascii="Times New Roman" w:hAnsi="Times New Roman" w:cs="Times New Roman"/>
          <w:sz w:val="24"/>
          <w:szCs w:val="24"/>
        </w:rPr>
        <w:t>visokorizičnih trećih zemalja</w:t>
      </w:r>
      <w:r w:rsidRPr="006518F2">
        <w:rPr>
          <w:rFonts w:ascii="Times New Roman" w:hAnsi="Times New Roman" w:cs="Times New Roman"/>
          <w:sz w:val="24"/>
          <w:szCs w:val="24"/>
        </w:rPr>
        <w:t>.</w:t>
      </w:r>
      <w:r w:rsidRPr="00332C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Prilikom donošenja Delegirane uredbe, Komisija je u obzir uzela nalaze međunarodnih organizacija koje se bave pitanjem sprječavanja pranja novca i financiranja terorizma, utvrđivanjem nedostataka te postavljanjem standarda u tom području. Posebno su uzeti u obzir nalazi FATF-a pa će stoga u nastavku biti navedene i liste država koje je ta međunarodna organizacija utvrdila visokorizičnima.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7F7227" w:rsidRDefault="00CC14B2" w:rsidP="00CC14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227">
        <w:rPr>
          <w:rFonts w:ascii="Times New Roman" w:hAnsi="Times New Roman" w:cs="Times New Roman"/>
          <w:b/>
          <w:sz w:val="24"/>
          <w:szCs w:val="24"/>
        </w:rPr>
        <w:t xml:space="preserve">FATF-ove liste visokorizičnih država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>FAFT objavljuje tzv. „crnu listu“ s popisom država koje predstavljaju visoki rizik (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Highrisk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jurisdictions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to a Call for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>) te ističe da je u odnosu na stranke iz tih država potrebno primijeniti mjere pojačane dubinske analize. Trenutno su kao takve identificirane Iran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C58">
        <w:rPr>
          <w:rFonts w:ascii="Times New Roman" w:hAnsi="Times New Roman" w:cs="Times New Roman"/>
          <w:sz w:val="24"/>
          <w:szCs w:val="24"/>
        </w:rPr>
        <w:t xml:space="preserve"> Demokratska Narodna Republika Koreja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95EBD">
        <w:rPr>
          <w:rFonts w:ascii="Times New Roman" w:hAnsi="Times New Roman" w:cs="Times New Roman"/>
          <w:sz w:val="24"/>
          <w:szCs w:val="24"/>
        </w:rPr>
        <w:t xml:space="preserve">Mjanmar </w:t>
      </w:r>
      <w:r w:rsidRPr="00332C58">
        <w:rPr>
          <w:rFonts w:ascii="Times New Roman" w:hAnsi="Times New Roman" w:cs="Times New Roman"/>
          <w:sz w:val="24"/>
          <w:szCs w:val="24"/>
        </w:rPr>
        <w:t xml:space="preserve">te su uvrštene na listu visokorizičnih trećih država Europske komisije.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>Također, FATF objavljuje i tzv. „sivu listu“ država koje su pod povećanom prismotrom (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Jurisdictions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Monitoring), a koje aktivno surađuju s FATF-om na ispravljanju nedostataka u vlastitim sustavima za borbu protiv pranja novca, financiranja terorizma te proliferacije oružja za masovno uništenje. U odnosu na stranke iz tih država prema FATF-u nije potrebno primjenjivati mjere pojačane dubinske analize stranke, samo iz razloga što                                                       stranke dolaze iz tih država, ali ta okolnost svakako može biti čimbenik pri procjeni rizičnosti stranke.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Međutim, pojedine države koje se nalaze na „sivoj listi“ FATF-a, Europska komisija je označila visokorizičnim te ih uvrstila na svoju listu visokorizičnih trećih država pa su obveznici, sukladno ZSPNFT-u, dužni u odnosu na te države primijeniti mjere pojačane dubinske analize.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Također, Europska komisija je kao visokorizičnima označila i pojedine države koje se ne nalaze na FATF- ovim listama. 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lastRenderedPageBreak/>
        <w:t xml:space="preserve">Liste visokorizičnih zemalja sa strateškim nedostacima u sustavima za sprječavanje pranja novca i financiranja terorizma EU komisije i FATF-a: 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168"/>
        <w:gridCol w:w="2584"/>
        <w:gridCol w:w="3503"/>
      </w:tblGrid>
      <w:tr w:rsidR="00CC14B2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Naziv zemlje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Delegirana uredba EU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Lista FATF-a</w:t>
            </w:r>
          </w:p>
        </w:tc>
      </w:tr>
      <w:tr w:rsidR="00CC14B2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Afganistan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02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41F69" w:rsidRDefault="00D6217C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41F69" w:rsidRDefault="002B580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Alžir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41F69" w:rsidRDefault="002B5802" w:rsidP="004175A1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41F69" w:rsidRDefault="002B580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2B5802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41F69" w:rsidRDefault="00D6217C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41F69" w:rsidRDefault="002B580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Angola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41F69" w:rsidRDefault="002B5802" w:rsidP="004175A1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41F69" w:rsidRDefault="002B580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D6217C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Barbados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7C" w:rsidRPr="000E2BFC" w:rsidTr="00B56410">
        <w:trPr>
          <w:trHeight w:val="225"/>
        </w:trPr>
        <w:tc>
          <w:tcPr>
            <w:tcW w:w="790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Bugarska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D6217C" w:rsidRPr="000E2BFC" w:rsidTr="00B56410">
        <w:trPr>
          <w:trHeight w:val="225"/>
        </w:trPr>
        <w:tc>
          <w:tcPr>
            <w:tcW w:w="790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D6217C" w:rsidRPr="000E2BFC" w:rsidTr="004175A1">
        <w:trPr>
          <w:trHeight w:val="225"/>
        </w:trPr>
        <w:tc>
          <w:tcPr>
            <w:tcW w:w="790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DNR Koreja*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D6217C" w:rsidRPr="000E2BFC" w:rsidTr="000F4F08">
        <w:trPr>
          <w:trHeight w:val="225"/>
        </w:trPr>
        <w:tc>
          <w:tcPr>
            <w:tcW w:w="790" w:type="dxa"/>
            <w:tcBorders>
              <w:top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Demokratska Republika Kongo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D6217C" w:rsidRPr="00741F69" w:rsidRDefault="00D6217C" w:rsidP="00D6217C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FA01D7">
        <w:trPr>
          <w:trHeight w:val="270"/>
        </w:trPr>
        <w:tc>
          <w:tcPr>
            <w:tcW w:w="790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Filipini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741F69">
              <w:rPr>
                <w:rFonts w:ascii="Times New Roman" w:hAnsi="Times New Roman" w:cs="Times New Roman"/>
              </w:rPr>
              <w:t>Gibraltar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Haiti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FA01D7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 xml:space="preserve">Hrvatska 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FA01D7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Iran*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Jemen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Jamajka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Južna Afrika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Južni Sudan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Kamerun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Kenija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Kneževina Monako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Libanon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Mali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Mozambik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741F69">
              <w:rPr>
                <w:rFonts w:ascii="Times New Roman" w:hAnsi="Times New Roman" w:cs="Times New Roman"/>
              </w:rPr>
              <w:t>Mjanmar</w:t>
            </w:r>
            <w:proofErr w:type="spellEnd"/>
            <w:r w:rsidRPr="00741F6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Namibija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Nigerija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Obala Bjelokosti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Panama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Sirija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Senegal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Tanzanija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Trinidad i Tobago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Uganda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741F69" w:rsidRDefault="00821D3B" w:rsidP="00821D3B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CC14B2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821D3B" w:rsidP="009E76A2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Ujedinjeni Arapski Emirati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4B2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821D3B" w:rsidP="009E76A2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Vanuatu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849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9" w:rsidRPr="00741F69" w:rsidRDefault="00821D3B" w:rsidP="009E76A2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9" w:rsidRPr="00741F69" w:rsidRDefault="009D4849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Venezuela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9" w:rsidRPr="00741F69" w:rsidRDefault="009D4849" w:rsidP="004175A1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9" w:rsidRPr="00741F69" w:rsidRDefault="009D4849" w:rsidP="004175A1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  <w:tr w:rsidR="00CC14B2" w:rsidRPr="000E2BFC" w:rsidTr="004175A1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821D3B" w:rsidP="009E76A2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741F69">
              <w:rPr>
                <w:rFonts w:ascii="Times New Roman" w:hAnsi="Times New Roman" w:cs="Times New Roman"/>
              </w:rPr>
              <w:t>Vijetnam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Segoe UI Symbol" w:hAnsi="Segoe UI Symbol" w:cs="Segoe UI Symbol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741F69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41F69">
              <w:rPr>
                <w:rFonts w:ascii="Segoe UI Symbol" w:hAnsi="Segoe UI Symbol" w:cs="Segoe UI Symbol"/>
              </w:rPr>
              <w:t>✔</w:t>
            </w:r>
          </w:p>
        </w:tc>
      </w:tr>
    </w:tbl>
    <w:p w:rsidR="00CC14B2" w:rsidRPr="00506A57" w:rsidRDefault="00CC14B2" w:rsidP="00CC14B2">
      <w:pPr>
        <w:pStyle w:val="Bezproreda"/>
        <w:jc w:val="both"/>
        <w:rPr>
          <w:rFonts w:ascii="Times New Roman" w:hAnsi="Times New Roman" w:cs="Times New Roman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r w:rsidRPr="00506A57">
        <w:rPr>
          <w:rFonts w:ascii="Times New Roman" w:hAnsi="Times New Roman" w:cs="Times New Roman"/>
        </w:rPr>
        <w:t xml:space="preserve">* Nalaze se na crnoj listi FATF-a. </w:t>
      </w:r>
    </w:p>
    <w:p w:rsidR="00CC14B2" w:rsidRPr="00332C58" w:rsidRDefault="00CC14B2" w:rsidP="007744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lastRenderedPageBreak/>
        <w:t>Kron</w:t>
      </w:r>
      <w:bookmarkStart w:id="0" w:name="_GoBack"/>
      <w:bookmarkEnd w:id="0"/>
      <w:r w:rsidRPr="00332C58">
        <w:rPr>
          <w:rFonts w:ascii="Times New Roman" w:hAnsi="Times New Roman" w:cs="Times New Roman"/>
          <w:sz w:val="24"/>
          <w:szCs w:val="24"/>
        </w:rPr>
        <w:t xml:space="preserve">ologija, vremenski slijed i dokumenti na temelju kojih su sastavljane i ažurirane liste visokorizičnih trećih država vidljivi su na web stranicama Europske komisije i FATF-a na sljedećim poveznicama:  </w:t>
      </w:r>
    </w:p>
    <w:p w:rsidR="00CC14B2" w:rsidRPr="00332C58" w:rsidRDefault="00CC14B2" w:rsidP="007744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Pr="00CE5271" w:rsidRDefault="00CC14B2" w:rsidP="007744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5271">
        <w:rPr>
          <w:rFonts w:ascii="Times New Roman" w:hAnsi="Times New Roman" w:cs="Times New Roman"/>
          <w:sz w:val="24"/>
          <w:szCs w:val="24"/>
        </w:rPr>
        <w:t>Europska komisija:</w:t>
      </w:r>
    </w:p>
    <w:p w:rsidR="00CC14B2" w:rsidRPr="00640544" w:rsidRDefault="0060403B" w:rsidP="007744C0">
      <w:pPr>
        <w:pStyle w:val="Bezproreda"/>
        <w:jc w:val="both"/>
        <w:rPr>
          <w:rFonts w:cstheme="minorHAnsi"/>
          <w:color w:val="2E74B5" w:themeColor="accent1" w:themeShade="BF"/>
        </w:rPr>
      </w:pPr>
      <w:hyperlink r:id="rId6" w:history="1"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High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risk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third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countries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and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the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international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context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content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of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anti-money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laundering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and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countering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the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financing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of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terrorism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- European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Commission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(e</w:t>
        </w:r>
        <w:r w:rsidR="0028394E" w:rsidRPr="00640544">
          <w:rPr>
            <w:rFonts w:cstheme="minorHAnsi"/>
            <w:color w:val="2E74B5" w:themeColor="accent1" w:themeShade="BF"/>
            <w:u w:val="single"/>
          </w:rPr>
          <w:t>u</w:t>
        </w:r>
        <w:r w:rsidR="0028394E" w:rsidRPr="00640544">
          <w:rPr>
            <w:rFonts w:cstheme="minorHAnsi"/>
            <w:color w:val="2E74B5" w:themeColor="accent1" w:themeShade="BF"/>
            <w:u w:val="single"/>
          </w:rPr>
          <w:t>ro</w:t>
        </w:r>
        <w:r w:rsidR="0028394E" w:rsidRPr="00640544">
          <w:rPr>
            <w:rFonts w:cstheme="minorHAnsi"/>
            <w:color w:val="2E74B5" w:themeColor="accent1" w:themeShade="BF"/>
            <w:u w:val="single"/>
          </w:rPr>
          <w:t>p</w:t>
        </w:r>
        <w:r w:rsidR="0028394E" w:rsidRPr="00640544">
          <w:rPr>
            <w:rFonts w:cstheme="minorHAnsi"/>
            <w:color w:val="2E74B5" w:themeColor="accent1" w:themeShade="BF"/>
            <w:u w:val="single"/>
          </w:rPr>
          <w:t>a.eu)</w:t>
        </w:r>
      </w:hyperlink>
      <w:r w:rsidR="0028394E" w:rsidRPr="00640544">
        <w:rPr>
          <w:rFonts w:cstheme="minorHAnsi"/>
          <w:color w:val="2E74B5" w:themeColor="accent1" w:themeShade="BF"/>
        </w:rPr>
        <w:t xml:space="preserve"> </w:t>
      </w:r>
    </w:p>
    <w:p w:rsidR="0028394E" w:rsidRPr="007744C0" w:rsidRDefault="0028394E" w:rsidP="007744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Pr="00CB2271" w:rsidRDefault="00CC14B2" w:rsidP="007744C0">
      <w:pPr>
        <w:pStyle w:val="Bezproreda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744C0">
        <w:rPr>
          <w:rFonts w:ascii="Times New Roman" w:hAnsi="Times New Roman" w:cs="Times New Roman"/>
          <w:sz w:val="24"/>
          <w:szCs w:val="24"/>
        </w:rPr>
        <w:t>FATF:</w:t>
      </w:r>
    </w:p>
    <w:p w:rsidR="00E0736F" w:rsidRPr="00CB2271" w:rsidRDefault="005466E1" w:rsidP="005466E1">
      <w:pPr>
        <w:jc w:val="both"/>
        <w:rPr>
          <w:rFonts w:ascii="Times New Roman" w:hAnsi="Times New Roman" w:cs="Times New Roman"/>
          <w:color w:val="2E74B5" w:themeColor="accent1" w:themeShade="BF"/>
        </w:rPr>
      </w:pPr>
      <w:hyperlink r:id="rId7" w:history="1">
        <w:r w:rsidRPr="00B1611D">
          <w:rPr>
            <w:rStyle w:val="Hiperveza"/>
          </w:rPr>
          <w:t>https://www.fatf-gafi.org/en/countries/black-and-grey-lists.html</w:t>
        </w:r>
      </w:hyperlink>
      <w:r>
        <w:t xml:space="preserve"> </w:t>
      </w:r>
    </w:p>
    <w:sectPr w:rsidR="00E0736F" w:rsidRPr="00CB2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82" w:rsidRDefault="00F06682" w:rsidP="00CC14B2">
      <w:pPr>
        <w:spacing w:after="0" w:line="240" w:lineRule="auto"/>
      </w:pPr>
      <w:r>
        <w:separator/>
      </w:r>
    </w:p>
  </w:endnote>
  <w:endnote w:type="continuationSeparator" w:id="0">
    <w:p w:rsidR="00F06682" w:rsidRDefault="00F06682" w:rsidP="00CC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82" w:rsidRDefault="00F06682" w:rsidP="00CC14B2">
      <w:pPr>
        <w:spacing w:after="0" w:line="240" w:lineRule="auto"/>
      </w:pPr>
      <w:r>
        <w:separator/>
      </w:r>
    </w:p>
  </w:footnote>
  <w:footnote w:type="continuationSeparator" w:id="0">
    <w:p w:rsidR="00F06682" w:rsidRDefault="00F06682" w:rsidP="00CC14B2">
      <w:pPr>
        <w:spacing w:after="0" w:line="240" w:lineRule="auto"/>
      </w:pPr>
      <w:r>
        <w:continuationSeparator/>
      </w:r>
    </w:p>
  </w:footnote>
  <w:footnote w:id="1"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 w:rsidRPr="004872EE">
        <w:rPr>
          <w:rStyle w:val="Referencafusnote"/>
          <w:rFonts w:ascii="Times New Roman" w:hAnsi="Times New Roman" w:cs="Times New Roman"/>
        </w:rPr>
        <w:footnoteRef/>
      </w:r>
      <w:r w:rsidRPr="004872EE">
        <w:rPr>
          <w:rFonts w:ascii="Times New Roman" w:hAnsi="Times New Roman" w:cs="Times New Roman"/>
        </w:rPr>
        <w:t xml:space="preserve"> FATF (</w:t>
      </w:r>
      <w:proofErr w:type="spellStart"/>
      <w:r w:rsidRPr="004872EE">
        <w:rPr>
          <w:rFonts w:ascii="Times New Roman" w:hAnsi="Times New Roman" w:cs="Times New Roman"/>
        </w:rPr>
        <w:t>eng</w:t>
      </w:r>
      <w:proofErr w:type="spellEnd"/>
      <w:r w:rsidRPr="004872EE">
        <w:rPr>
          <w:rFonts w:ascii="Times New Roman" w:hAnsi="Times New Roman" w:cs="Times New Roman"/>
        </w:rPr>
        <w:t xml:space="preserve">. Financial </w:t>
      </w:r>
      <w:proofErr w:type="spellStart"/>
      <w:r w:rsidRPr="004872EE">
        <w:rPr>
          <w:rFonts w:ascii="Times New Roman" w:hAnsi="Times New Roman" w:cs="Times New Roman"/>
        </w:rPr>
        <w:t>Action</w:t>
      </w:r>
      <w:proofErr w:type="spellEnd"/>
      <w:r w:rsidRPr="004872EE">
        <w:rPr>
          <w:rFonts w:ascii="Times New Roman" w:hAnsi="Times New Roman" w:cs="Times New Roman"/>
        </w:rPr>
        <w:t xml:space="preserve"> </w:t>
      </w:r>
      <w:proofErr w:type="spellStart"/>
      <w:r w:rsidRPr="004872EE">
        <w:rPr>
          <w:rFonts w:ascii="Times New Roman" w:hAnsi="Times New Roman" w:cs="Times New Roman"/>
        </w:rPr>
        <w:t>Task</w:t>
      </w:r>
      <w:proofErr w:type="spellEnd"/>
      <w:r w:rsidRPr="004872EE">
        <w:rPr>
          <w:rFonts w:ascii="Times New Roman" w:hAnsi="Times New Roman" w:cs="Times New Roman"/>
        </w:rPr>
        <w:t xml:space="preserve"> </w:t>
      </w:r>
      <w:proofErr w:type="spellStart"/>
      <w:r w:rsidRPr="004872EE">
        <w:rPr>
          <w:rFonts w:ascii="Times New Roman" w:hAnsi="Times New Roman" w:cs="Times New Roman"/>
        </w:rPr>
        <w:t>Force</w:t>
      </w:r>
      <w:proofErr w:type="spellEnd"/>
      <w:r w:rsidRPr="004872EE">
        <w:rPr>
          <w:rFonts w:ascii="Times New Roman" w:hAnsi="Times New Roman" w:cs="Times New Roman"/>
        </w:rPr>
        <w:t xml:space="preserve">, fra. </w:t>
      </w:r>
      <w:proofErr w:type="spellStart"/>
      <w:r w:rsidRPr="004872EE">
        <w:rPr>
          <w:rFonts w:ascii="Times New Roman" w:hAnsi="Times New Roman" w:cs="Times New Roman"/>
        </w:rPr>
        <w:t>Groupe</w:t>
      </w:r>
      <w:proofErr w:type="spellEnd"/>
      <w:r w:rsidRPr="004872EE">
        <w:rPr>
          <w:rFonts w:ascii="Times New Roman" w:hAnsi="Times New Roman" w:cs="Times New Roman"/>
        </w:rPr>
        <w:t xml:space="preserve"> </w:t>
      </w:r>
      <w:proofErr w:type="spellStart"/>
      <w:r w:rsidRPr="004872EE">
        <w:rPr>
          <w:rFonts w:ascii="Times New Roman" w:hAnsi="Times New Roman" w:cs="Times New Roman"/>
        </w:rPr>
        <w:t>d'action</w:t>
      </w:r>
      <w:proofErr w:type="spellEnd"/>
      <w:r w:rsidRPr="004872EE">
        <w:rPr>
          <w:rFonts w:ascii="Times New Roman" w:hAnsi="Times New Roman" w:cs="Times New Roman"/>
        </w:rPr>
        <w:t xml:space="preserve"> </w:t>
      </w:r>
      <w:proofErr w:type="spellStart"/>
      <w:r w:rsidRPr="004872EE">
        <w:rPr>
          <w:rFonts w:ascii="Times New Roman" w:hAnsi="Times New Roman" w:cs="Times New Roman"/>
        </w:rPr>
        <w:t>financière</w:t>
      </w:r>
      <w:proofErr w:type="spellEnd"/>
      <w:r w:rsidRPr="004872EE">
        <w:rPr>
          <w:rFonts w:ascii="Times New Roman" w:hAnsi="Times New Roman" w:cs="Times New Roman"/>
        </w:rPr>
        <w:t xml:space="preserve">)  - međuvladino multidisciplinarno tijelo osnovano u Parizu 1989. godine, na sastanku zemalja G-7. Njegova je zadaća postavljanje standarda te razvijanje i unaprjeđenje politika sprječavanja pranja novca i financiranja terorizma. Članice FATF-a su zemlje OECD-a, Hong Kong, Singapur, Kooperativno vijeće za arapske zemlje Zaljeva i Europska unija. Dokumenti FATF-a koji predstavljaju standarde za borbu protiv pranja novca i financiranja terorizma su:   </w:t>
      </w:r>
    </w:p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872EE">
        <w:rPr>
          <w:rFonts w:ascii="Times New Roman" w:hAnsi="Times New Roman" w:cs="Times New Roman"/>
        </w:rPr>
        <w:t xml:space="preserve"> 40 preporuka za sprječavanje pranja novca i financiranja terorizma  </w:t>
      </w:r>
    </w:p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872EE">
        <w:rPr>
          <w:rFonts w:ascii="Times New Roman" w:hAnsi="Times New Roman" w:cs="Times New Roman"/>
        </w:rPr>
        <w:t xml:space="preserve"> sektorske smjernice za provedbu mjera sprječavanja pranja novca i financiranja terorizma</w:t>
      </w:r>
    </w:p>
    <w:p w:rsidR="00CC14B2" w:rsidRPr="004872EE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</w:p>
  </w:footnote>
  <w:footnote w:id="2">
    <w:p w:rsidR="00CC14B2" w:rsidRPr="004872EE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 w:rsidRPr="004872EE">
        <w:rPr>
          <w:rStyle w:val="Referencafusnote"/>
          <w:rFonts w:ascii="Times New Roman" w:hAnsi="Times New Roman" w:cs="Times New Roman"/>
        </w:rPr>
        <w:footnoteRef/>
      </w:r>
      <w:r w:rsidRPr="004872EE">
        <w:rPr>
          <w:rFonts w:ascii="Times New Roman" w:hAnsi="Times New Roman" w:cs="Times New Roman"/>
        </w:rPr>
        <w:t xml:space="preserve"> Direktiva (EU) 2015/849 Europskoga parlamenta i Vijeća od 20.05.2015. o sprječavanju korištenja financijskoga sustava u svrhu pranja novca i financiranja terorizma, o izmjeni Uredbe (EU) 648/2012 Europskoga parlamenta i Vijeća te o stavljanju izvan snage Direktive 2005/60/EZ Europskoga Parlamenta i Vijeća i Direktive Komisije 2006/70/EZ (Četvrta Direktiva) </w:t>
      </w:r>
    </w:p>
    <w:p w:rsidR="00CC14B2" w:rsidRDefault="00CC14B2" w:rsidP="00CC14B2">
      <w:pPr>
        <w:pStyle w:val="Tekstfusnote"/>
        <w:jc w:val="both"/>
      </w:pPr>
    </w:p>
  </w:footnote>
  <w:footnote w:id="3"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 w:rsidRPr="007F7227">
        <w:rPr>
          <w:rStyle w:val="Referencafusnote"/>
          <w:rFonts w:ascii="Times New Roman" w:hAnsi="Times New Roman" w:cs="Times New Roman"/>
        </w:rPr>
        <w:footnoteRef/>
      </w:r>
      <w:r w:rsidRPr="007F7227">
        <w:rPr>
          <w:rFonts w:ascii="Times New Roman" w:hAnsi="Times New Roman" w:cs="Times New Roman"/>
        </w:rPr>
        <w:t xml:space="preserve"> </w:t>
      </w:r>
      <w:hyperlink r:id="rId1" w:history="1">
        <w:r w:rsidRPr="00983685">
          <w:rPr>
            <w:rStyle w:val="Hiperveza"/>
            <w:rFonts w:ascii="Times New Roman" w:hAnsi="Times New Roman" w:cs="Times New Roman"/>
          </w:rPr>
          <w:t>https://eur-lex.europa.eu/legal-content/HR/TXT/HTML/?uri=CELEX:32016R1675&amp;from=EN</w:t>
        </w:r>
      </w:hyperlink>
    </w:p>
    <w:p w:rsidR="00CC14B2" w:rsidRPr="007F7227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</w:p>
  </w:footnote>
  <w:footnote w:id="4"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 w:rsidRPr="007F7227">
        <w:rPr>
          <w:rStyle w:val="Referencafusnote"/>
          <w:rFonts w:ascii="Times New Roman" w:hAnsi="Times New Roman" w:cs="Times New Roman"/>
        </w:rPr>
        <w:footnoteRef/>
      </w:r>
      <w:r w:rsidRPr="007F7227">
        <w:rPr>
          <w:rFonts w:ascii="Times New Roman" w:hAnsi="Times New Roman" w:cs="Times New Roman"/>
        </w:rPr>
        <w:t xml:space="preserve"> Delegirane uredbe Komisije (EU) 2018/105</w:t>
      </w:r>
      <w:r>
        <w:rPr>
          <w:rFonts w:ascii="Times New Roman" w:hAnsi="Times New Roman" w:cs="Times New Roman"/>
        </w:rPr>
        <w:t>,</w:t>
      </w:r>
      <w:r w:rsidRPr="007F7227">
        <w:rPr>
          <w:rFonts w:ascii="Times New Roman" w:hAnsi="Times New Roman" w:cs="Times New Roman"/>
        </w:rPr>
        <w:t xml:space="preserve"> 2018/212</w:t>
      </w:r>
      <w:r>
        <w:rPr>
          <w:rFonts w:ascii="Times New Roman" w:hAnsi="Times New Roman" w:cs="Times New Roman"/>
        </w:rPr>
        <w:t>,</w:t>
      </w:r>
      <w:r w:rsidRPr="007F7227">
        <w:rPr>
          <w:rFonts w:ascii="Times New Roman" w:hAnsi="Times New Roman" w:cs="Times New Roman"/>
        </w:rPr>
        <w:t xml:space="preserve"> 2018/1467</w:t>
      </w:r>
      <w:r>
        <w:rPr>
          <w:rFonts w:ascii="Times New Roman" w:hAnsi="Times New Roman" w:cs="Times New Roman"/>
        </w:rPr>
        <w:t>,</w:t>
      </w:r>
      <w:r w:rsidRPr="007F7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2020/855, 2021/37, </w:t>
      </w:r>
      <w:r w:rsidRPr="00A44B9D">
        <w:rPr>
          <w:rFonts w:ascii="Times New Roman" w:hAnsi="Times New Roman" w:cs="Times New Roman"/>
        </w:rPr>
        <w:t>2022/229</w:t>
      </w:r>
      <w:r>
        <w:rPr>
          <w:rFonts w:ascii="Times New Roman" w:hAnsi="Times New Roman" w:cs="Times New Roman"/>
        </w:rPr>
        <w:t>, 2023/410</w:t>
      </w:r>
      <w:r w:rsidR="00EB77C4">
        <w:rPr>
          <w:rFonts w:ascii="Times New Roman" w:hAnsi="Times New Roman" w:cs="Times New Roman"/>
        </w:rPr>
        <w:t xml:space="preserve">, </w:t>
      </w:r>
      <w:r w:rsidRPr="009975F0">
        <w:rPr>
          <w:rFonts w:ascii="Times New Roman" w:hAnsi="Times New Roman" w:cs="Times New Roman"/>
        </w:rPr>
        <w:t>2023/2070</w:t>
      </w:r>
      <w:r w:rsidR="00EB77C4">
        <w:rPr>
          <w:rFonts w:ascii="Times New Roman" w:hAnsi="Times New Roman" w:cs="Times New Roman"/>
        </w:rPr>
        <w:t xml:space="preserve"> i 2024/163</w:t>
      </w:r>
    </w:p>
    <w:p w:rsidR="00CC14B2" w:rsidRDefault="0060403B" w:rsidP="00CC14B2">
      <w:pPr>
        <w:pStyle w:val="Tekstfusnote"/>
        <w:jc w:val="both"/>
        <w:rPr>
          <w:rFonts w:ascii="Times New Roman" w:hAnsi="Times New Roman" w:cs="Times New Roman"/>
        </w:rPr>
      </w:pPr>
      <w:hyperlink r:id="rId2" w:history="1">
        <w:r w:rsidR="00CC14B2" w:rsidRPr="00983685">
          <w:rPr>
            <w:rStyle w:val="Hiperveza"/>
            <w:rFonts w:ascii="Times New Roman" w:hAnsi="Times New Roman" w:cs="Times New Roman"/>
          </w:rPr>
          <w:t>https://eur-lex.europa.eu/legal-content/HR/TXT/HTML/?uri=CELEX:32018R0105&amp;from=EN</w:t>
        </w:r>
      </w:hyperlink>
      <w:r w:rsidR="00CC14B2" w:rsidRPr="007F7227">
        <w:rPr>
          <w:rFonts w:ascii="Times New Roman" w:hAnsi="Times New Roman" w:cs="Times New Roman"/>
        </w:rPr>
        <w:t xml:space="preserve"> </w:t>
      </w:r>
    </w:p>
    <w:p w:rsidR="00CC14B2" w:rsidRDefault="0060403B" w:rsidP="00CC14B2">
      <w:pPr>
        <w:pStyle w:val="Tekstfusnote"/>
        <w:jc w:val="both"/>
        <w:rPr>
          <w:rFonts w:ascii="Times New Roman" w:hAnsi="Times New Roman" w:cs="Times New Roman"/>
        </w:rPr>
      </w:pPr>
      <w:hyperlink r:id="rId3" w:history="1">
        <w:r w:rsidR="00CC14B2" w:rsidRPr="00983685">
          <w:rPr>
            <w:rStyle w:val="Hiperveza"/>
            <w:rFonts w:ascii="Times New Roman" w:hAnsi="Times New Roman" w:cs="Times New Roman"/>
          </w:rPr>
          <w:t>https://eur-lex.europa.eu/legal-content/HR/TXT/HTML/?uri=CELEX:32018R0212&amp;from=EN</w:t>
        </w:r>
      </w:hyperlink>
    </w:p>
    <w:p w:rsidR="00CC14B2" w:rsidRPr="00CB2271" w:rsidRDefault="0060403B" w:rsidP="00CC14B2">
      <w:pPr>
        <w:pStyle w:val="Tekstfusnote"/>
        <w:jc w:val="both"/>
        <w:rPr>
          <w:rFonts w:ascii="Times New Roman" w:hAnsi="Times New Roman" w:cs="Times New Roman"/>
          <w:color w:val="2E74B5" w:themeColor="accent1" w:themeShade="BF"/>
        </w:rPr>
      </w:pPr>
      <w:hyperlink r:id="rId4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https://eur-lex.europa.eu/legal-content/HR/TXT/HTML/?uri=CELEX:32018R1467&amp;from=EN</w:t>
        </w:r>
      </w:hyperlink>
    </w:p>
    <w:p w:rsidR="00CC14B2" w:rsidRPr="00CB2271" w:rsidRDefault="0060403B" w:rsidP="00CC14B2">
      <w:pPr>
        <w:pStyle w:val="Tekstfusnote"/>
        <w:jc w:val="both"/>
        <w:rPr>
          <w:rStyle w:val="Hiperveza"/>
          <w:rFonts w:ascii="Times New Roman" w:hAnsi="Times New Roman" w:cs="Times New Roman"/>
          <w:color w:val="2E74B5" w:themeColor="accent1" w:themeShade="BF"/>
        </w:rPr>
      </w:pPr>
      <w:hyperlink r:id="rId5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https://eur-lex.europa.eu/legal-content/HR/TXT/HTML/?uri=CELEX:32020R0855&amp;from=EN</w:t>
        </w:r>
      </w:hyperlink>
    </w:p>
    <w:p w:rsidR="00CC14B2" w:rsidRPr="00CB2271" w:rsidRDefault="0060403B" w:rsidP="00CC14B2">
      <w:pPr>
        <w:pStyle w:val="Tekstfusnote"/>
        <w:jc w:val="both"/>
        <w:rPr>
          <w:rStyle w:val="Hiperveza"/>
          <w:rFonts w:ascii="Times New Roman" w:hAnsi="Times New Roman" w:cs="Times New Roman"/>
          <w:color w:val="2E74B5" w:themeColor="accent1" w:themeShade="BF"/>
        </w:rPr>
      </w:pPr>
      <w:hyperlink r:id="rId6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https://eur-lex.europa.eu/legal-content/HR/TXT/HTML/?uri=CELEX:32021R0037&amp;from=EN</w:t>
        </w:r>
      </w:hyperlink>
    </w:p>
    <w:p w:rsidR="00CC14B2" w:rsidRPr="00CB2271" w:rsidRDefault="0060403B" w:rsidP="00CC14B2">
      <w:pPr>
        <w:pStyle w:val="Tekstfusnote"/>
        <w:jc w:val="both"/>
        <w:rPr>
          <w:rStyle w:val="Hiperveza"/>
          <w:rFonts w:ascii="Times New Roman" w:hAnsi="Times New Roman" w:cs="Times New Roman"/>
          <w:color w:val="2E74B5" w:themeColor="accent1" w:themeShade="BF"/>
        </w:rPr>
      </w:pPr>
      <w:hyperlink r:id="rId7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https://eur-lex.europa.eu/legal-content/HR/TXT/HTML/?uri=CELEX:32022R0229&amp;from=EN</w:t>
        </w:r>
      </w:hyperlink>
    </w:p>
    <w:p w:rsidR="00CC14B2" w:rsidRPr="00CB2271" w:rsidRDefault="00CC14B2" w:rsidP="00CC14B2">
      <w:pPr>
        <w:pStyle w:val="Tekstfusnote"/>
        <w:jc w:val="both"/>
        <w:rPr>
          <w:rStyle w:val="Hiperveza"/>
          <w:rFonts w:ascii="Times New Roman" w:hAnsi="Times New Roman" w:cs="Times New Roman"/>
          <w:color w:val="2E74B5" w:themeColor="accent1" w:themeShade="BF"/>
        </w:rPr>
      </w:pPr>
      <w:r w:rsidRPr="00CB2271">
        <w:rPr>
          <w:rStyle w:val="Hiperveza"/>
          <w:rFonts w:ascii="Times New Roman" w:hAnsi="Times New Roman" w:cs="Times New Roman"/>
          <w:color w:val="2E74B5" w:themeColor="accent1" w:themeShade="BF"/>
        </w:rPr>
        <w:t>https://eur-lex.europa.eu/legal-content/HR/TXT/PDF/?uri=CELEX:32023R0410&amp;from=EN</w:t>
      </w:r>
    </w:p>
    <w:p w:rsidR="00CC14B2" w:rsidRPr="00CB2271" w:rsidRDefault="0060403B" w:rsidP="00CC14B2">
      <w:pPr>
        <w:pStyle w:val="Tekstfusnote"/>
        <w:jc w:val="both"/>
        <w:rPr>
          <w:rFonts w:ascii="Times New Roman" w:hAnsi="Times New Roman" w:cs="Times New Roman"/>
          <w:color w:val="2E74B5" w:themeColor="accent1" w:themeShade="BF"/>
        </w:rPr>
      </w:pPr>
      <w:hyperlink r:id="rId8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https://eur-lex.europa.eu/legal-content/HR/TXT/HTML/?uri=CELEX:32023R2070</w:t>
        </w:r>
      </w:hyperlink>
    </w:p>
    <w:p w:rsidR="00276E78" w:rsidRPr="007F7227" w:rsidRDefault="0060403B" w:rsidP="00CC14B2">
      <w:pPr>
        <w:pStyle w:val="Tekstfusnote"/>
        <w:jc w:val="both"/>
        <w:rPr>
          <w:rFonts w:ascii="Times New Roman" w:hAnsi="Times New Roman" w:cs="Times New Roman"/>
        </w:rPr>
      </w:pPr>
      <w:hyperlink r:id="rId9" w:history="1">
        <w:r w:rsidR="004D0B30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https://eur-lex.europa.eu/legal-content/HR/TXT/HTML/?uri=OJ:L_202400163</w:t>
        </w:r>
      </w:hyperlink>
      <w:r w:rsidR="004D0B30" w:rsidRPr="00CB2271">
        <w:rPr>
          <w:rFonts w:ascii="Times New Roman" w:hAnsi="Times New Roman" w:cs="Times New Roman"/>
          <w:color w:val="2E74B5" w:themeColor="accent1" w:themeShade="BF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B2"/>
    <w:rsid w:val="0002435A"/>
    <w:rsid w:val="00211D2B"/>
    <w:rsid w:val="00276E78"/>
    <w:rsid w:val="0028394E"/>
    <w:rsid w:val="002B5802"/>
    <w:rsid w:val="002D410A"/>
    <w:rsid w:val="0030308E"/>
    <w:rsid w:val="00362DE0"/>
    <w:rsid w:val="003945CA"/>
    <w:rsid w:val="00412857"/>
    <w:rsid w:val="004179A8"/>
    <w:rsid w:val="004D0B30"/>
    <w:rsid w:val="005466E1"/>
    <w:rsid w:val="0060403B"/>
    <w:rsid w:val="00640544"/>
    <w:rsid w:val="0064196E"/>
    <w:rsid w:val="00653742"/>
    <w:rsid w:val="006A776E"/>
    <w:rsid w:val="00741F69"/>
    <w:rsid w:val="007744C0"/>
    <w:rsid w:val="00821D3B"/>
    <w:rsid w:val="00906A75"/>
    <w:rsid w:val="009D4849"/>
    <w:rsid w:val="009E76A2"/>
    <w:rsid w:val="00A02320"/>
    <w:rsid w:val="00A60BD2"/>
    <w:rsid w:val="00B919FD"/>
    <w:rsid w:val="00CB2271"/>
    <w:rsid w:val="00CC14B2"/>
    <w:rsid w:val="00D26B4D"/>
    <w:rsid w:val="00D322ED"/>
    <w:rsid w:val="00D569DE"/>
    <w:rsid w:val="00D6217C"/>
    <w:rsid w:val="00D66762"/>
    <w:rsid w:val="00E0736F"/>
    <w:rsid w:val="00EB77C4"/>
    <w:rsid w:val="00F022FF"/>
    <w:rsid w:val="00F06682"/>
    <w:rsid w:val="00F113DD"/>
    <w:rsid w:val="00F1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D004"/>
  <w15:chartTrackingRefBased/>
  <w15:docId w15:val="{9C6E6464-43D0-44D2-96A4-9DB19DF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4B2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C14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C14B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C14B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C1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tf-gafi.org/en/countries/black-and-grey-lis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ce.ec.europa.eu/financial-crime/high-risk-third-countries-and-international-context-content-anti-money-laundering-and-countering_en?prefLang=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23R2070" TargetMode="External"/><Relationship Id="rId3" Type="http://schemas.openxmlformats.org/officeDocument/2006/relationships/hyperlink" Target="https://eur-lex.europa.eu/legal-content/HR/TXT/HTML/?uri=CELEX:32018R0212&amp;from=EN" TargetMode="External"/><Relationship Id="rId7" Type="http://schemas.openxmlformats.org/officeDocument/2006/relationships/hyperlink" Target="https://eur-lex.europa.eu/legal-content/HR/TXT/HTML/?uri=CELEX:32022R0229&amp;from=EN" TargetMode="External"/><Relationship Id="rId2" Type="http://schemas.openxmlformats.org/officeDocument/2006/relationships/hyperlink" Target="https://eur-lex.europa.eu/legal-content/HR/TXT/HTML/?uri=CELEX:32018R0105&amp;from=EN" TargetMode="External"/><Relationship Id="rId1" Type="http://schemas.openxmlformats.org/officeDocument/2006/relationships/hyperlink" Target="https://eur-lex.europa.eu/legal-content/HR/TXT/HTML/?uri=CELEX:32016R1675&amp;from=EN" TargetMode="External"/><Relationship Id="rId6" Type="http://schemas.openxmlformats.org/officeDocument/2006/relationships/hyperlink" Target="https://eur-lex.europa.eu/legal-content/HR/TXT/HTML/?uri=CELEX:32021R0037&amp;from=EN" TargetMode="External"/><Relationship Id="rId5" Type="http://schemas.openxmlformats.org/officeDocument/2006/relationships/hyperlink" Target="https://eur-lex.europa.eu/legal-content/HR/TXT/HTML/?uri=CELEX:32020R0855&amp;from=EN" TargetMode="External"/><Relationship Id="rId4" Type="http://schemas.openxmlformats.org/officeDocument/2006/relationships/hyperlink" Target="https://eur-lex.europa.eu/legal-content/HR/TXT/HTML/?uri=CELEX:32018R1467&amp;from=EN" TargetMode="External"/><Relationship Id="rId9" Type="http://schemas.openxmlformats.org/officeDocument/2006/relationships/hyperlink" Target="https://eur-lex.europa.eu/legal-content/HR/TXT/HTML/?uri=OJ:L_202400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Stojanović</cp:lastModifiedBy>
  <cp:revision>3</cp:revision>
  <dcterms:created xsi:type="dcterms:W3CDTF">2024-11-06T14:37:00Z</dcterms:created>
  <dcterms:modified xsi:type="dcterms:W3CDTF">2024-11-06T14:52:00Z</dcterms:modified>
</cp:coreProperties>
</file>